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7969"/>
      </w:tblGrid>
      <w:tr>
        <w:trPr/>
        <w:tc>
          <w:tcPr>
            <w:tcW w:w="1384" w:type="dxa"/>
            <w:textDirection w:val="lrTb"/>
            <w:noWrap w:val="false"/>
          </w:tcPr>
          <w:p>
            <w:pPr>
              <w:shd w:val="clear" w:color="ffffff" w:themeColor="background1" w:fill="ffffff" w:themeFill="background1"/>
              <w:rPr>
                <w:b/>
                <w:sz w:val="24"/>
                <w:szCs w:val="24"/>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9525" b="9525"/>
                      <wp:wrapTight wrapText="bothSides">
                        <wp:wrapPolygon edited="1">
                          <wp:start x="0" y="0"/>
                          <wp:lineTo x="0" y="21352"/>
                          <wp:lineTo x="21319" y="21352"/>
                          <wp:lineTo x="21319" y="0"/>
                          <wp:lineTo x="0" y="0"/>
                        </wp:wrapPolygon>
                      </wp:wrapTight>
                      <wp:docPr id="1" name="Рисунок 21" descr="Gerb-BMSTU_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hidden="0"/>
                              <pic:cNvPicPr>
                                <a:picLocks noChangeAspect="1"/>
                              </pic:cNvPicPr>
                              <pic:nvPr isPhoto="0" userDrawn="0"/>
                            </pic:nvPicPr>
                            <pic:blipFill>
                              <a:blip r:embed="rId14"/>
                              <a:stretch/>
                            </pic:blipFill>
                            <pic:spPr bwMode="auto">
                              <a:xfrm>
                                <a:off x="0" y="0"/>
                                <a:ext cx="733424" cy="82867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9264;o:allowoverlap:true;o:allowincell:true;mso-position-horizontal-relative:text;margin-left:-1.10pt;mso-position-horizontal:absolute;mso-position-vertical-relative:text;margin-top:16.50pt;mso-position-vertical:absolute;width:57.75pt;height:65.25pt;mso-wrap-distance-left:9.00pt;mso-wrap-distance-top:0.00pt;mso-wrap-distance-right:9.00pt;mso-wrap-distance-bottom:0.00pt;" wrapcoords="0 0 0 98852 98699 98852 98699 0 0 0" stroked="false">
                      <v:path textboxrect="0,0,0,0"/>
                      <w10:wrap type="tight"/>
                      <v:imagedata r:id="rId14" o:title=""/>
                    </v:shape>
                  </w:pict>
                </mc:Fallback>
              </mc:AlternateContent>
            </w:r>
            <w:r>
              <w:rPr>
                <w:b/>
                <w:sz w:val="24"/>
                <w:szCs w:val="24"/>
                <w:highlight w:val="none"/>
              </w:rPr>
            </w:r>
            <w:r>
              <w:rPr>
                <w:b/>
                <w:sz w:val="24"/>
                <w:szCs w:val="24"/>
                <w:highlight w:val="none"/>
              </w:rPr>
            </w:r>
          </w:p>
        </w:tc>
        <w:tc>
          <w:tcPr>
            <w:tcW w:w="8469" w:type="dxa"/>
            <w:textDirection w:val="lrTb"/>
            <w:noWrap w:val="false"/>
          </w:tcPr>
          <w:p>
            <w:pPr>
              <w:jc w:val="center"/>
              <w:shd w:val="clear" w:color="ffffff" w:themeColor="background1" w:fill="ffffff" w:themeFill="background1"/>
              <w:rPr>
                <w:b/>
                <w:sz w:val="24"/>
                <w:szCs w:val="24"/>
                <w:highlight w:val="none"/>
              </w:rPr>
            </w:pPr>
            <w:r>
              <w:rPr>
                <w:b/>
                <w:sz w:val="24"/>
                <w:szCs w:val="24"/>
                <w:highlight w:val="none"/>
              </w:rPr>
              <w:t xml:space="preserve">Министерство науки и высшего образования Российской Федерации</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Федеральное государственное бюджетное образовательное учреждение </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высшего образования</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«Московский государственный технический университет</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имени Н.Э. Баумана</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(национальный исследовательский университет)»</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(МГТУ им. Н.Э. Баумана)</w:t>
            </w:r>
            <w:r>
              <w:rPr>
                <w:b/>
                <w:sz w:val="24"/>
                <w:szCs w:val="24"/>
                <w:highlight w:val="none"/>
              </w:rPr>
            </w:r>
            <w:r>
              <w:rPr>
                <w:b/>
                <w:sz w:val="24"/>
                <w:szCs w:val="24"/>
                <w:highlight w:val="none"/>
              </w:rPr>
            </w:r>
          </w:p>
        </w:tc>
      </w:tr>
    </w:tbl>
    <w:p>
      <w:pPr>
        <w:jc w:val="center"/>
        <w:shd w:val="clear" w:color="ffffff" w:themeColor="background1" w:fill="ffffff" w:themeFill="background1"/>
        <w:rPr>
          <w:b/>
          <w:sz w:val="24"/>
          <w:szCs w:val="24"/>
          <w:highlight w:val="none"/>
        </w:rPr>
        <w:pBdr>
          <w:bottom w:val="single" w:color="000000" w:sz="24" w:space="1"/>
        </w:pBd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b/>
          <w:sz w:val="24"/>
          <w:szCs w:val="24"/>
          <w:highlight w:val="none"/>
        </w:rP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sz w:val="24"/>
          <w:szCs w:val="24"/>
          <w:highlight w:val="none"/>
        </w:rPr>
      </w:pPr>
      <w:r>
        <w:rPr>
          <w:sz w:val="24"/>
          <w:szCs w:val="24"/>
          <w:highlight w:val="none"/>
        </w:rPr>
        <w:t xml:space="preserve">ФАКУЛЬТЕТ </w:t>
      </w:r>
      <w:r>
        <w:rPr>
          <w:b/>
          <w:caps/>
          <w:sz w:val="24"/>
          <w:szCs w:val="24"/>
          <w:highlight w:val="none"/>
        </w:rPr>
        <w:t xml:space="preserve">Информатика и системы управления</w:t>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b/>
          <w:sz w:val="24"/>
          <w:szCs w:val="24"/>
          <w:highlight w:val="none"/>
        </w:rPr>
      </w:pPr>
      <w:r>
        <w:rPr>
          <w:sz w:val="24"/>
          <w:szCs w:val="24"/>
          <w:highlight w:val="none"/>
        </w:rPr>
        <w:t xml:space="preserve">КАФЕДРА </w:t>
      </w:r>
      <w:r>
        <w:rPr>
          <w:b/>
          <w:caps/>
          <w:sz w:val="24"/>
          <w:szCs w:val="24"/>
          <w:highlight w:val="none"/>
        </w:rPr>
        <w:t xml:space="preserve">Компьютерные системы и сети (ИУ6)</w:t>
      </w:r>
      <w:r>
        <w:rPr>
          <w:b/>
          <w:sz w:val="24"/>
          <w:szCs w:val="24"/>
          <w:highlight w:val="none"/>
        </w:rPr>
      </w:r>
      <w:r>
        <w:rPr>
          <w:b/>
          <w:sz w:val="24"/>
          <w:szCs w:val="24"/>
          <w:highlight w:val="none"/>
        </w:rPr>
      </w:r>
    </w:p>
    <w:p>
      <w:pPr>
        <w:shd w:val="clear" w:color="ffffff" w:themeColor="background1" w:fill="ffffff" w:themeFill="background1"/>
        <w:rPr>
          <w:i/>
          <w:sz w:val="24"/>
          <w:szCs w:val="24"/>
          <w:highlight w:val="none"/>
        </w:rPr>
      </w:pPr>
      <w:r>
        <w:rPr>
          <w:i/>
          <w:sz w:val="24"/>
          <w:szCs w:val="24"/>
          <w:highlight w:val="none"/>
        </w:rPr>
      </w:r>
      <w:r>
        <w:rPr>
          <w:i/>
          <w:sz w:val="24"/>
          <w:szCs w:val="24"/>
          <w:highlight w:val="none"/>
        </w:rPr>
      </w:r>
      <w:r>
        <w:rPr>
          <w:i/>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НАПРАВЛЕНИЕ </w:t>
      </w:r>
      <w:r>
        <w:rPr>
          <w:sz w:val="24"/>
          <w:szCs w:val="24"/>
          <w:highlight w:val="none"/>
        </w:rPr>
        <w:t xml:space="preserve">ПОДГОТОВКИ</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rPr>
        <w:t xml:space="preserve"> Информатика и вычислительная техника</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bCs/>
          <w:sz w:val="24"/>
          <w:szCs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МАГИСТЕРСКАЯ ПРОГРАММА</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lang w:val="en-US"/>
        </w:rPr>
        <w:t xml:space="preserve">/</w:t>
      </w:r>
      <w:r>
        <w:rPr>
          <w:b/>
          <w:sz w:val="24"/>
          <w:highlight w:val="none"/>
          <w:lang w:val="ru-RU"/>
        </w:rPr>
        <w:t xml:space="preserve">07</w:t>
      </w:r>
      <w:r>
        <w:rPr>
          <w:b/>
          <w:sz w:val="24"/>
          <w:highlight w:val="none"/>
        </w:rPr>
        <w:t xml:space="preserve"> </w:t>
      </w:r>
      <w:r>
        <w:rPr>
          <w:b/>
          <w:sz w:val="24"/>
          <w:highlight w:val="none"/>
        </w:rPr>
        <w:t xml:space="preserve">Интеллектуальные системы анализа, обработки и интерпретации больших данных</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pStyle w:val="945"/>
        <w:spacing w:before="700" w:after="240"/>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jc w:val="center"/>
        <w:spacing w:before="700" w:after="240"/>
        <w:shd w:val="clear" w:color="ffffff" w:themeColor="background1" w:fill="ffffff" w:themeFill="background1"/>
        <w:rPr>
          <w:b/>
          <w:caps/>
          <w:spacing w:val="100"/>
          <w:sz w:val="32"/>
          <w:highlight w:val="none"/>
        </w:rPr>
        <w:outlineLvl w:val="0"/>
      </w:pPr>
      <w:r/>
      <w:bookmarkStart w:id="1" w:name="_Toc1"/>
      <w:r>
        <w:rPr>
          <w:b/>
          <w:caps/>
          <w:spacing w:val="100"/>
          <w:sz w:val="32"/>
          <w:highlight w:val="none"/>
        </w:rPr>
        <w:t xml:space="preserve">Отчет</w:t>
      </w:r>
      <w:bookmarkEnd w:id="1"/>
      <w:r>
        <w:rPr>
          <w:b/>
          <w:caps/>
          <w:spacing w:val="100"/>
          <w:sz w:val="32"/>
          <w:highlight w:val="none"/>
        </w:rPr>
      </w:r>
      <w:r>
        <w:rPr>
          <w:b/>
          <w:caps/>
          <w:spacing w:val="100"/>
          <w:sz w:val="32"/>
          <w:highlight w:val="none"/>
        </w:rPr>
      </w:r>
    </w:p>
    <w:tbl>
      <w:tblPr>
        <w:tblW w:w="0" w:type="auto"/>
        <w:tblInd w:w="2376" w:type="dxa"/>
        <w:tblLook w:val="04A0" w:firstRow="1" w:lastRow="0" w:firstColumn="1" w:lastColumn="0" w:noHBand="0" w:noVBand="1"/>
      </w:tblPr>
      <w:tblGrid>
        <w:gridCol w:w="3969"/>
        <w:gridCol w:w="709"/>
      </w:tblGrid>
      <w:tr>
        <w:trPr/>
        <w:tc>
          <w:tcPr>
            <w:tcW w:w="3969" w:type="dxa"/>
            <w:textDirection w:val="lrTb"/>
            <w:noWrap w:val="false"/>
          </w:tcPr>
          <w:p>
            <w:pPr>
              <w:pStyle w:val="945"/>
              <w:jc w:val="right"/>
              <w:shd w:val="clear" w:color="ffffff" w:themeColor="background1" w:fill="ffffff" w:themeFill="background1"/>
              <w:rPr>
                <w:b/>
                <w:sz w:val="28"/>
                <w:highlight w:val="none"/>
              </w:rPr>
            </w:pPr>
            <w:r>
              <w:rPr>
                <w:b/>
                <w:sz w:val="28"/>
                <w:highlight w:val="none"/>
              </w:rPr>
              <w:t xml:space="preserve">по</w:t>
            </w:r>
            <w:r>
              <w:rPr>
                <w:b/>
                <w:sz w:val="28"/>
                <w:highlight w:val="none"/>
                <w:lang w:val="en-US"/>
              </w:rPr>
              <w:t xml:space="preserve"> </w:t>
            </w:r>
            <w:r>
              <w:rPr>
                <w:b/>
                <w:sz w:val="28"/>
                <w:highlight w:val="none"/>
                <w:lang w:val="ru-RU"/>
              </w:rPr>
              <w:t xml:space="preserve">рубежному контролю</w:t>
            </w:r>
            <w:r>
              <w:rPr>
                <w:b/>
                <w:sz w:val="28"/>
                <w:highlight w:val="none"/>
              </w:rPr>
              <w:t xml:space="preserve"> № </w:t>
            </w:r>
            <w:r>
              <w:rPr>
                <w:b/>
                <w:sz w:val="28"/>
                <w:highlight w:val="none"/>
              </w:rPr>
            </w:r>
            <w:r>
              <w:rPr>
                <w:b/>
                <w:sz w:val="28"/>
                <w:highlight w:val="none"/>
              </w:rPr>
            </w:r>
          </w:p>
        </w:tc>
        <w:tc>
          <w:tcPr>
            <w:tcW w:w="709" w:type="dxa"/>
            <w:textDirection w:val="lrTb"/>
            <w:noWrap w:val="false"/>
          </w:tcPr>
          <w:p>
            <w:pPr>
              <w:pStyle w:val="945"/>
              <w:jc w:val="center"/>
              <w:shd w:val="clear" w:color="ffffff" w:themeColor="background1" w:fill="ffffff" w:themeFill="background1"/>
              <w:tabs>
                <w:tab w:val="left" w:pos="206" w:leader="none"/>
                <w:tab w:val="center" w:pos="246" w:leader="none"/>
              </w:tabs>
              <w:rPr>
                <w:b/>
                <w:color w:val="000000"/>
                <w:spacing w:val="100"/>
                <w:sz w:val="28"/>
                <w:szCs w:val="28"/>
                <w:highlight w:val="none"/>
              </w:rPr>
            </w:pPr>
            <w:r>
              <w:rPr>
                <w:sz w:val="28"/>
                <w:highlight w:val="none"/>
              </w:rPr>
              <w:t xml:space="preserve">1</w:t>
            </w:r>
            <w:r>
              <w:rPr>
                <w:sz w:val="28"/>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-33655</wp:posOffset>
                      </wp:positionH>
                      <wp:positionV relativeFrom="paragraph">
                        <wp:posOffset>189230</wp:posOffset>
                      </wp:positionV>
                      <wp:extent cx="361950" cy="0"/>
                      <wp:effectExtent l="13970" t="8255" r="5080" b="10795"/>
                      <wp:wrapNone/>
                      <wp:docPr id="2" name="Прямая со стрелкой 20" hidden="0"/>
                      <wp:cNvGraphicFramePr/>
                      <a:graphic xmlns:a="http://schemas.openxmlformats.org/drawingml/2006/main">
                        <a:graphicData uri="http://schemas.microsoft.com/office/word/2010/wordprocessingShape">
                          <wps:wsp>
                            <wps:cNvPr id="0" name=""/>
                            <wps:cNvSpPr/>
                            <wps:spPr bwMode="auto">
                              <a:xfrm>
                                <a:off x="0" y="0"/>
                                <a:ext cx="361950" cy="0"/>
                              </a:xfrm>
                              <a:prstGeom prst="straightConnector1">
                                <a:avLst/>
                              </a:prstGeom>
                              <a:noFill/>
                              <a:ln w="9525">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32" type="#_x0000_t32" style="position:absolute;z-index:251660288;o:allowoverlap:true;o:allowincell:true;mso-position-horizontal-relative:text;margin-left:-2.65pt;mso-position-horizontal:absolute;mso-position-vertical-relative:text;margin-top:14.90pt;mso-position-vertical:absolute;width:28.50pt;height:0.00pt;mso-wrap-distance-left:9.00pt;mso-wrap-distance-top:0.00pt;mso-wrap-distance-right:9.00pt;mso-wrap-distance-bottom:0.00pt;visibility:visible;" filled="f" strokecolor="#000000" strokeweight="0.75pt"/>
                  </w:pict>
                </mc:Fallback>
              </mc:AlternateContent>
            </w:r>
            <w:r>
              <w:rPr>
                <w:b/>
                <w:color w:val="000000"/>
                <w:spacing w:val="100"/>
                <w:sz w:val="28"/>
                <w:szCs w:val="28"/>
                <w:highlight w:val="none"/>
              </w:rPr>
            </w:r>
            <w:r>
              <w:rPr>
                <w:b/>
                <w:color w:val="000000"/>
                <w:spacing w:val="100"/>
                <w:sz w:val="28"/>
                <w:szCs w:val="28"/>
                <w:highlight w:val="none"/>
              </w:rPr>
            </w:r>
          </w:p>
        </w:tc>
      </w:tr>
    </w:tbl>
    <w:p>
      <w:pPr>
        <w:pStyle w:val="945"/>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ind w:firstLine="0"/>
        <w:spacing w:line="360" w:lineRule="auto"/>
        <w:shd w:val="clear" w:color="ffffff" w:themeColor="background1" w:fill="ffffff" w:themeFill="background1"/>
        <w:rPr>
          <w:sz w:val="28"/>
          <w:highlight w:val="none"/>
        </w:rPr>
        <w:outlineLvl w:val="0"/>
      </w:pPr>
      <w:r/>
      <w:bookmarkStart w:id="2" w:name="_Toc2"/>
      <w:r>
        <w:rPr>
          <w:rFonts w:ascii="Times New Roman" w:hAnsi="Times New Roman" w:eastAsia="Times New Roman" w:cs="Times New Roman"/>
          <w:b/>
          <w:color w:val="000000"/>
          <w:sz w:val="32"/>
          <w:highlight w:val="none"/>
          <w:u w:val="none"/>
        </w:rPr>
        <w:t xml:space="preserve">  </w:t>
      </w:r>
      <w:r>
        <w:rPr>
          <w:rFonts w:ascii="Times New Roman" w:hAnsi="Times New Roman" w:eastAsia="Times New Roman" w:cs="Times New Roman"/>
          <w:b/>
          <w:color w:val="000000"/>
          <w:sz w:val="28"/>
          <w:highlight w:val="none"/>
          <w:u w:val="none"/>
        </w:rPr>
        <w:t xml:space="preserve">Название: </w:t>
      </w:r>
      <w:r>
        <w:rPr>
          <w:rFonts w:ascii="Times New Roman" w:hAnsi="Times New Roman" w:eastAsia="Times New Roman" w:cs="Times New Roman"/>
          <w:color w:val="000000"/>
          <w:sz w:val="28"/>
          <w:highlight w:val="none"/>
          <w:u w:val="single"/>
        </w:rPr>
        <w:t xml:space="preserve">Анализ методов определения дипфейков</w:t>
      </w:r>
      <w:r>
        <w:rPr>
          <w:rFonts w:ascii="Times New Roman" w:hAnsi="Times New Roman" w:eastAsia="Times New Roman" w:cs="Times New Roman"/>
          <w:color w:val="000000"/>
          <w:sz w:val="28"/>
          <w:highlight w:val="none"/>
          <w:u w:val="single"/>
        </w:rPr>
        <w:t xml:space="preserve"> </w:t>
      </w:r>
      <w:bookmarkEnd w:id="2"/>
      <w:r>
        <w:rPr>
          <w:sz w:val="28"/>
          <w:highlight w:val="none"/>
        </w:rPr>
      </w:r>
      <w:r>
        <w:rPr>
          <w:sz w:val="28"/>
          <w:highlight w:val="none"/>
        </w:rPr>
      </w:r>
    </w:p>
    <w:p>
      <w:pPr>
        <w:ind w:left="142" w:right="0" w:firstLine="0"/>
        <w:jc w:val="left"/>
        <w:spacing w:before="120" w:after="480"/>
        <w:shd w:val="clear" w:color="ffffff" w:themeColor="background1" w:fill="ffffff" w:themeFill="background1"/>
        <w:rPr>
          <w:rFonts w:ascii="Times New Roman" w:hAnsi="Times New Roman" w:eastAsia="Times New Roman" w:cs="Times New Roman"/>
          <w:b w:val="0"/>
          <w:bCs w:val="0"/>
          <w:sz w:val="28"/>
          <w:szCs w:val="32"/>
          <w:highlight w:val="none"/>
          <w:u w:val="single"/>
        </w:rPr>
        <w:pBdr>
          <w:top w:val="none" w:color="000000" w:sz="4" w:space="0"/>
          <w:left w:val="none" w:color="000000" w:sz="4" w:space="0"/>
          <w:bottom w:val="none" w:color="000000" w:sz="4" w:space="0"/>
          <w:right w:val="none" w:color="000000" w:sz="4" w:space="0"/>
        </w:pBdr>
      </w:pPr>
      <w:r>
        <w:rPr>
          <w:b/>
          <w:sz w:val="28"/>
          <w:highlight w:val="none"/>
        </w:rPr>
        <w:t xml:space="preserve">Дисциплина: </w:t>
      </w:r>
      <w:r>
        <w:rPr>
          <w:b w:val="0"/>
          <w:bCs w:val="0"/>
          <w:sz w:val="28"/>
          <w:highlight w:val="none"/>
          <w:u w:val="single"/>
        </w:rPr>
        <w:t xml:space="preserve">Искусство системного инжиниринга и менеджмента организаций</w:t>
      </w:r>
      <w:r>
        <w:rPr>
          <w:rFonts w:ascii="Times New Roman" w:hAnsi="Times New Roman" w:eastAsia="Times New Roman" w:cs="Times New Roman"/>
          <w:b w:val="0"/>
          <w:bCs w:val="0"/>
          <w:sz w:val="28"/>
          <w:szCs w:val="32"/>
          <w:highlight w:val="none"/>
          <w:u w:val="single"/>
        </w:rPr>
      </w:r>
      <w:r>
        <w:rPr>
          <w:rFonts w:ascii="Times New Roman" w:hAnsi="Times New Roman" w:eastAsia="Times New Roman" w:cs="Times New Roman"/>
          <w:b w:val="0"/>
          <w:bCs w:val="0"/>
          <w:sz w:val="28"/>
          <w:szCs w:val="32"/>
          <w:highlight w:val="none"/>
          <w:u w:val="singl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tbl>
      <w:tblPr>
        <w:tblW w:w="0" w:type="auto"/>
        <w:tblInd w:w="108" w:type="dxa"/>
        <w:tblLook w:val="04A0" w:firstRow="1" w:lastRow="0" w:firstColumn="1" w:lastColumn="0" w:noHBand="0" w:noVBand="1"/>
      </w:tblPr>
      <w:tblGrid>
        <w:gridCol w:w="2010"/>
        <w:gridCol w:w="1675"/>
        <w:gridCol w:w="1310"/>
        <w:gridCol w:w="2127"/>
        <w:gridCol w:w="95"/>
        <w:gridCol w:w="2030"/>
      </w:tblGrid>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Студент</w:t>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ИУ6-12М</w:t>
            </w:r>
            <w:r>
              <w:rPr>
                <w:sz w:val="28"/>
                <w:szCs w:val="28"/>
                <w:highlight w:val="none"/>
              </w:rPr>
            </w:r>
            <w:r>
              <w:rPr>
                <w:sz w:val="28"/>
                <w:szCs w:val="28"/>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2127"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gridSpan w:val="2"/>
            <w:tcW w:w="212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С.В. Астахов</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t xml:space="preserve">(Группа)</w:t>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r>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Преподаватель</w:t>
            </w:r>
            <w:r>
              <w:rPr>
                <w:sz w:val="28"/>
                <w:szCs w:val="28"/>
                <w:highlight w:val="none"/>
              </w:rPr>
            </w:r>
            <w:r>
              <w:rPr>
                <w:sz w:val="28"/>
                <w:szCs w:val="28"/>
                <w:highlight w:val="none"/>
              </w:rPr>
            </w:r>
          </w:p>
        </w:tc>
        <w:tc>
          <w:tcPr>
            <w:tcW w:w="1675" w:type="dxa"/>
            <w:textDirection w:val="lrTb"/>
            <w:noWrap w:val="false"/>
          </w:tcPr>
          <w:p>
            <w:pP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gridSpan w:val="2"/>
            <w:tcW w:w="2222"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tcW w:w="2030" w:type="dxa"/>
            <w:textDirection w:val="lrTb"/>
            <w:noWrap w:val="false"/>
          </w:tcPr>
          <w:p>
            <w:pPr>
              <w:jc w:val="left"/>
              <w:shd w:val="clear" w:color="ffffff" w:themeColor="background1" w:fill="ffffff" w:themeFill="background1"/>
              <w:rPr>
                <w:sz w:val="28"/>
                <w:szCs w:val="28"/>
                <w:highlight w:val="none"/>
              </w:rPr>
              <w:pBdr>
                <w:bottom w:val="single" w:color="000000" w:sz="6" w:space="1"/>
              </w:pBdr>
            </w:pPr>
            <w:r>
              <w:rPr>
                <w:sz w:val="28"/>
                <w:szCs w:val="28"/>
                <w:highlight w:val="none"/>
              </w:rPr>
              <w:t xml:space="preserve">Д.В. Березкин</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bl>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highlight w:val="none"/>
        </w:rPr>
      </w:r>
      <w:r>
        <w:rPr>
          <w:sz w:val="24"/>
          <w:szCs w:val="24"/>
          <w:highlight w:val="none"/>
        </w:rPr>
      </w:r>
      <w:r>
        <w:rPr>
          <w:sz w:val="24"/>
          <w:szCs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sz w:val="24"/>
          <w:highlight w:val="none"/>
        </w:rPr>
        <w:t xml:space="preserve">Москва, 2023</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tabs>
              <w:tab w:val="right" w:pos="9355" w:leader="dot"/>
            </w:tabs>
            <w:rPr>
              <w:b w:val="0"/>
              <w:bCs w:val="0"/>
              <w:caps/>
              <w:spacing w:val="100"/>
              <w:sz w:val="28"/>
              <w:szCs w:val="28"/>
              <w:highlight w:val="none"/>
            </w:rPr>
          </w:pPr>
          <w:r>
            <w:rPr>
              <w:rFonts w:ascii="Times New Roman" w:hAnsi="Times New Roman" w:eastAsia="Times New Roman" w:cs="Times New Roman"/>
              <w:b/>
              <w:bCs/>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23"/>
                <w:b/>
                <w:bCs/>
              </w:rPr>
            </w:r>
            <w:r>
              <w:rPr>
                <w:rStyle w:val="923"/>
                <w:rFonts w:ascii="Times New Roman" w:hAnsi="Times New Roman" w:eastAsia="Times New Roman" w:cs="Times New Roman"/>
                <w:b w:val="0"/>
                <w:bCs w:val="0"/>
                <w:sz w:val="28"/>
                <w:szCs w:val="28"/>
                <w:lang w:val="ru-RU"/>
              </w:rPr>
              <w:t xml:space="preserve">Введение</w:t>
            </w:r>
            <w:r>
              <w:rPr>
                <w:rStyle w:val="923"/>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b w:val="0"/>
              <w:bCs w:val="0"/>
              <w:caps/>
              <w:spacing w:val="100"/>
              <w:sz w:val="28"/>
              <w:szCs w:val="28"/>
              <w:highlight w:val="none"/>
            </w:rPr>
          </w:r>
          <w:r>
            <w:rPr>
              <w:b w:val="0"/>
              <w:bCs w:val="0"/>
              <w:caps/>
              <w:spacing w:val="100"/>
              <w:sz w:val="28"/>
              <w:szCs w:val="28"/>
              <w:highlight w:val="none"/>
            </w:rPr>
          </w:r>
        </w:p>
        <w:p>
          <w:pPr>
            <w:pStyle w:val="931"/>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23"/>
                <w:b/>
                <w:bCs/>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23"/>
                <w:b/>
                <w:bCs/>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2"/>
            <w:tabs>
              <w:tab w:val="right" w:pos="9355" w:leader="dot"/>
            </w:tabs>
            <w:rPr>
              <w:b w:val="0"/>
              <w:bCs w:val="0"/>
              <w:sz w:val="28"/>
              <w:szCs w:val="28"/>
            </w:rPr>
          </w:pPr>
          <w:r/>
          <w:hyperlink w:tooltip="#_Toc6" w:anchor="_Toc6" w:history="1">
            <w:r>
              <w:rPr>
                <w:rStyle w:val="923"/>
                <w:b/>
                <w:bCs/>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sz w:val="28"/>
              <w:szCs w:val="28"/>
            </w:rPr>
          </w:r>
          <w:r>
            <w:rPr>
              <w:b w:val="0"/>
              <w:bCs w:val="0"/>
              <w:sz w:val="28"/>
              <w:szCs w:val="28"/>
            </w:rPr>
          </w:r>
        </w:p>
        <w:p>
          <w:pPr>
            <w:pStyle w:val="932"/>
            <w:tabs>
              <w:tab w:val="right" w:pos="9355" w:leader="dot"/>
            </w:tabs>
            <w:rPr>
              <w:b w:val="0"/>
              <w:bCs w:val="0"/>
              <w:sz w:val="28"/>
              <w:szCs w:val="28"/>
            </w:rPr>
          </w:pPr>
          <w:r/>
          <w:hyperlink w:tooltip="#_Toc7" w:anchor="_Toc7" w:history="1">
            <w:r>
              <w:rPr>
                <w:rStyle w:val="923"/>
                <w:b/>
                <w:bCs/>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sz w:val="28"/>
              <w:szCs w:val="28"/>
            </w:rPr>
          </w:r>
          <w:r>
            <w:rPr>
              <w:b w:val="0"/>
              <w:bCs w:val="0"/>
              <w:sz w:val="28"/>
              <w:szCs w:val="28"/>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b/>
                <w:bCs/>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b/>
                <w:bCs/>
              </w:rPr>
            </w:r>
            <w:r>
              <w:rPr>
                <w:rStyle w:val="923"/>
                <w:rFonts w:ascii="Times New Roman" w:hAnsi="Times New Roman" w:eastAsia="Times New Roman" w:cs="Times New Roman"/>
                <w:b w:val="0"/>
                <w:bCs w:val="0"/>
                <w:sz w:val="28"/>
                <w:szCs w:val="28"/>
                <w:highlight w:val="none"/>
                <w:lang w:val="ru-RU"/>
              </w:rPr>
              <w:t xml:space="preserve">Заключение</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rFonts w:ascii="Times New Roman" w:hAnsi="Times New Roman" w:eastAsia="Times New Roman" w:cs="Times New Roman"/>
          <w:b w:val="0"/>
          <w:bCs w:val="0"/>
          <w:color w:val="000000"/>
          <w:sz w:val="28"/>
          <w:szCs w:val="28"/>
          <w:highlight w:val="none"/>
          <w:lang w:val="en-US"/>
        </w:rPr>
      </w:pPr>
      <w:r/>
      <w:bookmarkStart w:id="3" w:name="_Toc3"/>
      <w:r>
        <w:rPr>
          <w:rStyle w:val="764"/>
          <w:rFonts w:ascii="Times New Roman" w:hAnsi="Times New Roman" w:eastAsia="Times New Roman" w:cs="Times New Roman"/>
          <w:lang w:val="ru-RU"/>
        </w:rPr>
        <w:t xml:space="preserve">Введение</w:t>
      </w:r>
      <w:bookmarkEnd w:id="3"/>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bookmarkEnd w:id="4"/>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bookmarkEnd w:id="5"/>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767"/>
        <w:rPr>
          <w:b/>
          <w:bCs/>
        </w:rPr>
      </w:pPr>
      <w:r/>
      <w:bookmarkStart w:id="6" w:name="_Toc6"/>
      <w:r>
        <w:rPr>
          <w:b/>
          <w:bCs/>
        </w:rPr>
        <w:t xml:space="preserve">2.1. Комбинация сверточной и рекуррентной нейронных сетей</w:t>
      </w:r>
      <w:bookmarkEnd w:id="6"/>
      <w:r>
        <w:rPr>
          <w:b/>
          <w:bCs/>
        </w:rPr>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bookmarkEnd w:id="7"/>
      <w:r>
        <w:rPr>
          <w:b/>
          <w:bCs/>
        </w:rPr>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bookmarkEnd w:id="8"/>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 </w:t>
        <w:br w:type="page" w:clear="all"/>
      </w:r>
      <w: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bookmarkStart w:id="9" w:name="_Toc9"/>
      <w:r>
        <w:rPr>
          <w:rFonts w:ascii="Times New Roman" w:hAnsi="Times New Roman" w:eastAsia="Times New Roman" w:cs="Times New Roman"/>
          <w:b/>
          <w:bCs/>
          <w:color w:val="000000"/>
          <w:sz w:val="28"/>
          <w:szCs w:val="28"/>
          <w:highlight w:val="none"/>
          <w:lang w:val="ru-RU"/>
        </w:rPr>
        <w:t xml:space="preserve">Заключение</w:t>
      </w:r>
      <w:bookmarkEnd w:id="9"/>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 такие как анализ пикселей, анализ движения, анализ голоса и другие.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br w:type="page" w:clear="all"/>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bCs/>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hyperlink r:id="rId41" w:tooltip="https://ietresearch.onlinelibrary.wiley.com/doi/pdf/10.1049/bme2.12031" w:history="1">
        <w:r>
          <w:rPr>
            <w:rStyle w:val="923"/>
            <w:rFonts w:ascii="Times New Roman" w:hAnsi="Times New Roman" w:eastAsia="Times New Roman" w:cs="Times New Roman"/>
            <w:b w:val="0"/>
            <w:bCs w:val="0"/>
            <w:sz w:val="28"/>
            <w:highlight w:val="none"/>
            <w:lang w:val="ru-RU"/>
          </w:rPr>
          <w:t xml:space="preserve">https://ietresearch.onlinelibrary.wiley.com/doi/pdf/10.1049/bme2.12031</w:t>
        </w:r>
        <w:r>
          <w:rPr>
            <w:rStyle w:val="923"/>
            <w:rFonts w:ascii="Times New Roman" w:hAnsi="Times New Roman" w:eastAsia="Times New Roman" w:cs="Times New Roman"/>
            <w:b w:val="0"/>
            <w:bCs w:val="0"/>
            <w:sz w:val="28"/>
            <w:highlight w:val="none"/>
            <w:lang w:val="ru-RU"/>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2" w:tooltip="https://habr.com/ru/companies/binarydistrict/articles/428255/" w:history="1">
        <w:r>
          <w:rPr>
            <w:rStyle w:val="923"/>
            <w:rFonts w:ascii="Times New Roman" w:hAnsi="Times New Roman" w:eastAsia="Times New Roman" w:cs="Times New Roman"/>
            <w:b w:val="0"/>
            <w:bCs w:val="0"/>
            <w:sz w:val="28"/>
            <w:highlight w:val="none"/>
            <w:lang w:val="en-US"/>
          </w:rPr>
          <w:t xml:space="preserve">https://habr.com/ru/companies/binarydistrict/articles/428255/</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3"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none"/>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4" w:tooltip="https://arxiv.org/pdf/1810.11215.pdf" w:history="1">
        <w:r>
          <w:rPr>
            <w:rStyle w:val="923"/>
            <w:rFonts w:ascii="Times New Roman" w:hAnsi="Times New Roman" w:eastAsia="Times New Roman" w:cs="Times New Roman"/>
            <w:b w:val="0"/>
            <w:bCs w:val="0"/>
            <w:sz w:val="28"/>
            <w:highlight w:val="none"/>
            <w:lang w:val="en-US"/>
          </w:rPr>
          <w:t xml:space="preserve">https://arxiv.org/pdf/1810.11215.pdf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5" w:tooltip="https://arxiv.org/pdf/1409.1556v1.pdf" w:history="1">
        <w:r>
          <w:rPr>
            <w:rStyle w:val="923"/>
            <w:rFonts w:ascii="Times New Roman" w:hAnsi="Times New Roman" w:eastAsia="Times New Roman" w:cs="Times New Roman"/>
            <w:b w:val="0"/>
            <w:bCs w:val="0"/>
            <w:sz w:val="28"/>
            <w:highlight w:val="none"/>
            <w:lang w:val="en-US"/>
          </w:rPr>
          <w:t xml:space="preserve">https://arxiv.org/pdf/1409.1556v1.pdf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6" w:tooltip="https://neurohive.io/ru/osnovy-data-science/kapsulnaja-nejronnaja-set-capsnet/" w:history="1">
        <w:r>
          <w:rPr>
            <w:rStyle w:val="923"/>
            <w:rFonts w:ascii="Times New Roman" w:hAnsi="Times New Roman" w:eastAsia="Times New Roman" w:cs="Times New Roman"/>
            <w:b w:val="0"/>
            <w:bCs w:val="0"/>
            <w:sz w:val="28"/>
            <w:highlight w:val="none"/>
            <w:lang w:val="en-US"/>
          </w:rPr>
          <w:t xml:space="preserve">https://neurohive.io/ru/osnovy-data-science/kapsulnaja-nejronnaja-set-capsnet/</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7" w:tooltip="https://arxiv.org/pdf/1911.13269.pdf" w:history="1">
        <w:r>
          <w:rPr>
            <w:rStyle w:val="923"/>
            <w:rFonts w:ascii="Times New Roman" w:hAnsi="Times New Roman" w:eastAsia="Times New Roman" w:cs="Times New Roman"/>
            <w:b w:val="0"/>
            <w:bCs w:val="0"/>
            <w:sz w:val="28"/>
            <w:highlight w:val="none"/>
            <w:lang w:val="en-US"/>
          </w:rPr>
          <w:t xml:space="preserve">https://arxiv.org/pdf/1911.13269.pdf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8" w:tooltip="https://habr.com/ru/companies/wunderfund/articles/331310/" w:history="1">
        <w:r>
          <w:rPr>
            <w:rStyle w:val="923"/>
            <w:rFonts w:ascii="Times New Roman" w:hAnsi="Times New Roman" w:eastAsia="Times New Roman" w:cs="Times New Roman"/>
            <w:b w:val="0"/>
            <w:bCs w:val="0"/>
            <w:sz w:val="28"/>
            <w:highlight w:val="none"/>
            <w:lang w:val="en-US"/>
          </w:rPr>
          <w:t xml:space="preserve">https://habr.com/ru/companies/wunderfund/articles/331310/</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9"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none"/>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0" w:tooltip="https://wangrun.github.io/paper/ICICS_19.pdf" w:history="1">
        <w:r>
          <w:rPr>
            <w:rStyle w:val="923"/>
            <w:rFonts w:ascii="Times New Roman" w:hAnsi="Times New Roman" w:eastAsia="Times New Roman" w:cs="Times New Roman"/>
            <w:b w:val="0"/>
            <w:bCs w:val="0"/>
            <w:sz w:val="28"/>
            <w:highlight w:val="none"/>
            <w:lang w:val="en-US"/>
          </w:rPr>
          <w:t xml:space="preserve">https://wangrun.github.io/paper/ICICS_19.pdf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1" w:tooltip="https://arxiv.org/pdf/2008.03412.pdf" w:history="1">
        <w:r>
          <w:rPr>
            <w:rStyle w:val="923"/>
            <w:rFonts w:ascii="Times New Roman" w:hAnsi="Times New Roman" w:eastAsia="Times New Roman" w:cs="Times New Roman"/>
            <w:b w:val="0"/>
            <w:bCs w:val="0"/>
            <w:sz w:val="28"/>
            <w:highlight w:val="none"/>
            <w:lang w:val="en-US"/>
          </w:rPr>
          <w:t xml:space="preserve">https://arxiv.org/pdf/2008.03412.pdf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2" w:tooltip="https://arxiv.org/pdf/1811.00656.pdf" w:history="1">
        <w:r>
          <w:rPr>
            <w:rStyle w:val="923"/>
            <w:rFonts w:ascii="Times New Roman" w:hAnsi="Times New Roman" w:eastAsia="Times New Roman" w:cs="Times New Roman"/>
            <w:b w:val="0"/>
            <w:bCs w:val="0"/>
            <w:sz w:val="28"/>
            <w:highlight w:val="none"/>
            <w:lang w:val="en-US"/>
          </w:rPr>
          <w:t xml:space="preserve">https://arxiv.org/pdf/1811.00656.pdf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3"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none"/>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4" w:tooltip="https://arxiv.org/pdf/1811.00661.pdf" w:history="1">
        <w:r>
          <w:rPr>
            <w:rStyle w:val="923"/>
            <w:rFonts w:ascii="Times New Roman" w:hAnsi="Times New Roman" w:eastAsia="Times New Roman" w:cs="Times New Roman"/>
            <w:b w:val="0"/>
            <w:bCs w:val="0"/>
            <w:sz w:val="28"/>
            <w:szCs w:val="28"/>
            <w:highlight w:val="none"/>
            <w:lang w:val="en-US"/>
          </w:rPr>
          <w:t xml:space="preserve">https://arxiv.org/pdf/1811.00661.pdf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5"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none"/>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6" w:tooltip="https://arxiv.org/pdf/1808.08396.pdf" w:history="1">
        <w:r>
          <w:rPr>
            <w:rStyle w:val="923"/>
            <w:rFonts w:ascii="Times New Roman" w:hAnsi="Times New Roman" w:eastAsia="Times New Roman" w:cs="Times New Roman"/>
            <w:b w:val="0"/>
            <w:bCs w:val="0"/>
            <w:sz w:val="28"/>
            <w:szCs w:val="28"/>
            <w:highlight w:val="none"/>
            <w:lang w:val="en-US"/>
          </w:rPr>
          <w:t xml:space="preserve">https://arxiv.org/pdf/1808.08396.pdf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t xml:space="preserve">https://habr.com/ru/companies/jetinfosystems/articles/465279/</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image" Target="media/image1.jp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hyperlink" Target="https://ietresearch.onlinelibrary.wiley.com/doi/pdf/10.1049/bme2.12031" TargetMode="External"/><Relationship Id="rId42" Type="http://schemas.openxmlformats.org/officeDocument/2006/relationships/hyperlink" Target="https://habr.com/ru/companies/binarydistrict/articles/428255/" TargetMode="External"/><Relationship Id="rId43" Type="http://schemas.openxmlformats.org/officeDocument/2006/relationships/hyperlink" Target="https://www.researchgate.net/publication/319284586_Two-Stream_Neural_Networks_for_Tampered_Face_Detection" TargetMode="External"/><Relationship Id="rId44" Type="http://schemas.openxmlformats.org/officeDocument/2006/relationships/hyperlink" Target="https://arxiv.org/pdf/1810.11215.pdf" TargetMode="External"/><Relationship Id="rId45" Type="http://schemas.openxmlformats.org/officeDocument/2006/relationships/hyperlink" Target="https://arxiv.org/pdf/1409.1556v1.pdf" TargetMode="External"/><Relationship Id="rId46" Type="http://schemas.openxmlformats.org/officeDocument/2006/relationships/hyperlink" Target="https://neurohive.io/ru/osnovy-data-science/kapsulnaja-nejronnaja-set-capsnet/" TargetMode="External"/><Relationship Id="rId47" Type="http://schemas.openxmlformats.org/officeDocument/2006/relationships/hyperlink" Target="https://arxiv.org/pdf/1911.13269.pdf" TargetMode="External"/><Relationship Id="rId48" Type="http://schemas.openxmlformats.org/officeDocument/2006/relationships/hyperlink" Target="https://habr.com/ru/companies/wunderfund/articles/331310/" TargetMode="External"/><Relationship Id="rId49" Type="http://schemas.openxmlformats.org/officeDocument/2006/relationships/hyperlink" Target="https://openaccess.thecvf.com/content_CVPRW_2020/papers/w39/Montserrat_Deepfakes_Detection_With_Automatic_Face_Weighting_CVPRW_2020_paper.pdf" TargetMode="External"/><Relationship Id="rId50" Type="http://schemas.openxmlformats.org/officeDocument/2006/relationships/hyperlink" Target="https://wangrun.github.io/paper/ICICS_19.pdf" TargetMode="External"/><Relationship Id="rId51" Type="http://schemas.openxmlformats.org/officeDocument/2006/relationships/hyperlink" Target="https://arxiv.org/pdf/2008.03412.pdf" TargetMode="External"/><Relationship Id="rId52" Type="http://schemas.openxmlformats.org/officeDocument/2006/relationships/hyperlink" Target="https://arxiv.org/pdf/1811.00656.pdf" TargetMode="External"/><Relationship Id="rId53" Type="http://schemas.openxmlformats.org/officeDocument/2006/relationships/hyperlink" Target="https://openaccess.thecvf.com/content_CVPR_2020/papers/Li_Face_X-Ray_for_More_General_Face_Forgery_Detection_CVPR_2020_paper.pdf" TargetMode="External"/><Relationship Id="rId54" Type="http://schemas.openxmlformats.org/officeDocument/2006/relationships/hyperlink" Target="https://arxiv.org/pdf/1811.00661.pdf" TargetMode="External"/><Relationship Id="rId55" Type="http://schemas.openxmlformats.org/officeDocument/2006/relationships/hyperlink" Target="https://www.researchgate.net/publication/329814168_Detection_of_Deepfake_Video_Manipulation" TargetMode="External"/><Relationship Id="rId56" Type="http://schemas.openxmlformats.org/officeDocument/2006/relationships/hyperlink" Target="https://arxiv.org/pdf/1808.08396.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24</cp:revision>
  <dcterms:created xsi:type="dcterms:W3CDTF">2021-09-11T09:19:00Z</dcterms:created>
  <dcterms:modified xsi:type="dcterms:W3CDTF">2023-10-28T08:28:07Z</dcterms:modified>
</cp:coreProperties>
</file>